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spacing w:before="312" w:after="156" w:afterLines="50" w:line="240" w:lineRule="auto"/>
        <w:jc w:val="center"/>
        <w:rPr>
          <w:rFonts w:ascii="仿宋_GB2312" w:eastAsia="仿宋_GB2312" w:cs="Arial"/>
        </w:rPr>
      </w:pPr>
      <w:bookmarkStart w:id="0" w:name="OLE_LINK29"/>
      <w:bookmarkStart w:id="1" w:name="OLE_LINK28"/>
      <w:r>
        <w:rPr>
          <w:rFonts w:hint="eastAsia" w:ascii="仿宋_GB2312" w:eastAsia="仿宋_GB2312" w:cs="Arial"/>
          <w:lang w:val="en-US" w:eastAsia="zh-CN"/>
        </w:rPr>
        <w:t>企业</w:t>
      </w:r>
      <w:bookmarkStart w:id="2" w:name="_GoBack"/>
      <w:bookmarkEnd w:id="2"/>
      <w:r>
        <w:rPr>
          <w:rFonts w:hint="eastAsia" w:ascii="仿宋_GB2312" w:eastAsia="仿宋_GB2312" w:cs="Arial"/>
        </w:rPr>
        <w:t>服务超市-服务外包补贴</w:t>
      </w:r>
    </w:p>
    <w:bookmarkEnd w:id="0"/>
    <w:bookmarkEnd w:id="1"/>
    <w:p>
      <w:pPr>
        <w:pStyle w:val="2"/>
        <w:keepNext w:val="0"/>
        <w:keepLines w:val="0"/>
        <w:spacing w:before="312" w:after="156" w:afterLines="50" w:line="240" w:lineRule="auto"/>
        <w:jc w:val="center"/>
        <w:rPr>
          <w:rFonts w:ascii="仿宋_GB2312" w:eastAsia="仿宋_GB2312" w:cs="Arial"/>
        </w:rPr>
      </w:pPr>
      <w:r>
        <w:rPr>
          <w:rFonts w:hint="eastAsia" w:ascii="仿宋_GB2312" w:eastAsia="仿宋_GB2312" w:cs="Arial"/>
        </w:rPr>
        <w:t>企业端操作指南</w:t>
      </w:r>
    </w:p>
    <w:p>
      <w:pPr>
        <w:pStyle w:val="3"/>
        <w:keepNext w:val="0"/>
        <w:keepLines w:val="0"/>
        <w:numPr>
          <w:ilvl w:val="0"/>
          <w:numId w:val="1"/>
        </w:numPr>
        <w:suppressLineNumbers/>
        <w:spacing w:line="413" w:lineRule="auto"/>
        <w:rPr>
          <w:rFonts w:ascii="仿宋_GB2312" w:eastAsia="仿宋_GB2312" w:cs="Arial"/>
          <w:sz w:val="28"/>
          <w:szCs w:val="28"/>
        </w:rPr>
      </w:pPr>
      <w:r>
        <w:rPr>
          <w:rFonts w:hint="eastAsia" w:ascii="仿宋_GB2312" w:eastAsia="仿宋_GB2312" w:cs="Arial"/>
          <w:sz w:val="28"/>
          <w:szCs w:val="28"/>
        </w:rPr>
        <w:t>登录</w:t>
      </w:r>
    </w:p>
    <w:p>
      <w:pPr>
        <w:spacing w:line="360" w:lineRule="auto"/>
        <w:rPr>
          <w:rFonts w:ascii="仿宋" w:hAnsi="仿宋" w:eastAsia="仿宋" w:cs="Arial"/>
          <w:sz w:val="28"/>
          <w:szCs w:val="28"/>
        </w:rPr>
      </w:pPr>
      <w:r>
        <w:rPr>
          <w:rFonts w:hint="eastAsia" w:ascii="仿宋" w:hAnsi="仿宋" w:eastAsia="仿宋" w:cs="Arial"/>
          <w:sz w:val="28"/>
          <w:szCs w:val="28"/>
        </w:rPr>
        <w:t>1、企业用户登录：</w:t>
      </w:r>
    </w:p>
    <w:p>
      <w:pPr>
        <w:spacing w:line="360" w:lineRule="auto"/>
        <w:rPr>
          <w:rFonts w:ascii="仿宋" w:hAnsi="仿宋" w:eastAsia="仿宋" w:cs="Arial"/>
          <w:sz w:val="28"/>
          <w:szCs w:val="28"/>
        </w:rPr>
      </w:pPr>
      <w:r>
        <w:rPr>
          <w:rFonts w:ascii="仿宋" w:hAnsi="仿宋" w:eastAsia="仿宋" w:cs="Arial"/>
          <w:sz w:val="28"/>
          <w:szCs w:val="28"/>
        </w:rPr>
        <w:t>请进入</w:t>
      </w:r>
      <w:r>
        <w:fldChar w:fldCharType="begin"/>
      </w:r>
      <w:r>
        <w:instrText xml:space="preserve"> HYPERLINK "http://sme.sipac.gov.cn/" </w:instrText>
      </w:r>
      <w:r>
        <w:fldChar w:fldCharType="separate"/>
      </w:r>
      <w:r>
        <w:rPr>
          <w:rStyle w:val="9"/>
          <w:rFonts w:ascii="仿宋" w:hAnsi="仿宋" w:eastAsia="仿宋" w:cs="Arial"/>
          <w:sz w:val="28"/>
          <w:szCs w:val="28"/>
        </w:rPr>
        <w:t>苏州工业园区企业</w:t>
      </w:r>
      <w:r>
        <w:rPr>
          <w:rStyle w:val="9"/>
          <w:rFonts w:hint="eastAsia" w:ascii="仿宋" w:hAnsi="仿宋" w:eastAsia="仿宋" w:cs="Arial"/>
          <w:sz w:val="28"/>
          <w:szCs w:val="28"/>
        </w:rPr>
        <w:t>发展</w:t>
      </w:r>
      <w:r>
        <w:rPr>
          <w:rStyle w:val="9"/>
          <w:rFonts w:ascii="仿宋" w:hAnsi="仿宋" w:eastAsia="仿宋" w:cs="Arial"/>
          <w:sz w:val="28"/>
          <w:szCs w:val="28"/>
        </w:rPr>
        <w:t>服务中心网站</w:t>
      </w:r>
      <w:r>
        <w:rPr>
          <w:rStyle w:val="9"/>
          <w:rFonts w:ascii="仿宋" w:hAnsi="仿宋" w:eastAsia="仿宋" w:cs="Arial"/>
          <w:sz w:val="28"/>
          <w:szCs w:val="28"/>
        </w:rPr>
        <w:fldChar w:fldCharType="end"/>
      </w:r>
    </w:p>
    <w:p>
      <w:pPr>
        <w:spacing w:line="360" w:lineRule="auto"/>
        <w:rPr>
          <w:rFonts w:ascii="仿宋" w:hAnsi="仿宋" w:eastAsia="仿宋" w:cs="Arial"/>
          <w:sz w:val="28"/>
          <w:szCs w:val="28"/>
        </w:rPr>
      </w:pPr>
      <w:r>
        <w:rPr>
          <w:rFonts w:hint="eastAsia" w:ascii="仿宋" w:hAnsi="仿宋" w:eastAsia="仿宋" w:cs="Arial"/>
          <w:sz w:val="28"/>
          <w:szCs w:val="28"/>
        </w:rPr>
        <w:t>（http://sme.sipac.gov.cn/）</w:t>
      </w:r>
      <w:r>
        <w:rPr>
          <w:rFonts w:ascii="仿宋" w:hAnsi="仿宋" w:eastAsia="仿宋" w:cs="Arial"/>
          <w:sz w:val="28"/>
          <w:szCs w:val="28"/>
        </w:rPr>
        <w:t>，</w:t>
      </w:r>
      <w:r>
        <w:rPr>
          <w:rFonts w:hint="eastAsia" w:ascii="仿宋" w:hAnsi="仿宋" w:eastAsia="仿宋" w:cs="Arial"/>
          <w:sz w:val="28"/>
          <w:szCs w:val="28"/>
        </w:rPr>
        <w:t>点击“登录”，选择“企业用户”</w:t>
      </w:r>
      <w:r>
        <w:rPr>
          <w:rFonts w:ascii="仿宋" w:hAnsi="仿宋" w:eastAsia="仿宋" w:cs="Arial"/>
          <w:sz w:val="28"/>
          <w:szCs w:val="28"/>
        </w:rPr>
        <w:t>，</w:t>
      </w:r>
      <w:r>
        <w:rPr>
          <w:rFonts w:hint="eastAsia" w:ascii="仿宋" w:hAnsi="仿宋" w:eastAsia="仿宋" w:cs="Arial"/>
          <w:sz w:val="28"/>
          <w:szCs w:val="28"/>
        </w:rPr>
        <w:t>选择</w:t>
      </w:r>
      <w:r>
        <w:rPr>
          <w:rFonts w:hint="eastAsia" w:ascii="Arial" w:hAnsi="Arial" w:eastAsia="仿宋_GB2312" w:cs="Arial"/>
          <w:sz w:val="28"/>
          <w:szCs w:val="32"/>
        </w:rPr>
        <w:t>我的服务中的“科技枢纽平台”，</w:t>
      </w:r>
      <w:r>
        <w:rPr>
          <w:rFonts w:ascii="仿宋" w:hAnsi="仿宋" w:eastAsia="仿宋" w:cs="Arial"/>
          <w:sz w:val="28"/>
          <w:szCs w:val="28"/>
        </w:rPr>
        <w:t>或者直接打开</w:t>
      </w:r>
      <w:r>
        <w:rPr>
          <w:rFonts w:hint="eastAsia" w:ascii="仿宋" w:hAnsi="仿宋" w:eastAsia="仿宋" w:cs="Arial"/>
          <w:sz w:val="28"/>
          <w:szCs w:val="28"/>
        </w:rPr>
        <w:t>如下</w:t>
      </w:r>
      <w:r>
        <w:rPr>
          <w:rFonts w:ascii="仿宋" w:hAnsi="仿宋" w:eastAsia="仿宋" w:cs="Arial"/>
          <w:sz w:val="28"/>
          <w:szCs w:val="28"/>
        </w:rPr>
        <w:t>网址进行登录</w:t>
      </w:r>
      <w:r>
        <w:rPr>
          <w:rFonts w:hint="eastAsia" w:ascii="仿宋" w:hAnsi="仿宋" w:eastAsia="仿宋" w:cs="Arial"/>
          <w:sz w:val="28"/>
          <w:szCs w:val="28"/>
        </w:rPr>
        <w:t>：</w:t>
      </w:r>
    </w:p>
    <w:p>
      <w:pPr>
        <w:spacing w:line="360" w:lineRule="auto"/>
        <w:rPr>
          <w:rFonts w:ascii="仿宋" w:hAnsi="仿宋" w:eastAsia="仿宋" w:cs="Arial"/>
          <w:sz w:val="28"/>
          <w:szCs w:val="28"/>
          <w:u w:val="single"/>
        </w:rPr>
      </w:pPr>
      <w:r>
        <w:fldChar w:fldCharType="begin"/>
      </w:r>
      <w:r>
        <w:instrText xml:space="preserve"> HYPERLINK "http://smes.sipac.gov.cn/" </w:instrText>
      </w:r>
      <w:r>
        <w:fldChar w:fldCharType="separate"/>
      </w:r>
      <w:r>
        <w:rPr>
          <w:rStyle w:val="9"/>
          <w:rFonts w:ascii="仿宋" w:hAnsi="仿宋" w:eastAsia="仿宋" w:cs="Arial"/>
          <w:sz w:val="28"/>
          <w:szCs w:val="28"/>
        </w:rPr>
        <w:t>http://sme</w:t>
      </w:r>
      <w:r>
        <w:rPr>
          <w:rStyle w:val="9"/>
          <w:rFonts w:hint="eastAsia" w:ascii="仿宋" w:hAnsi="仿宋" w:eastAsia="仿宋" w:cs="Arial"/>
          <w:sz w:val="28"/>
          <w:szCs w:val="28"/>
        </w:rPr>
        <w:t>s</w:t>
      </w:r>
      <w:r>
        <w:rPr>
          <w:rStyle w:val="9"/>
          <w:rFonts w:ascii="仿宋" w:hAnsi="仿宋" w:eastAsia="仿宋" w:cs="Arial"/>
          <w:sz w:val="28"/>
          <w:szCs w:val="28"/>
        </w:rPr>
        <w:t>.sipac.gov.cn</w:t>
      </w:r>
      <w:r>
        <w:rPr>
          <w:rStyle w:val="9"/>
          <w:rFonts w:hint="eastAsia" w:ascii="仿宋" w:hAnsi="仿宋" w:eastAsia="仿宋" w:cs="Arial"/>
          <w:sz w:val="28"/>
          <w:szCs w:val="28"/>
        </w:rPr>
        <w:t>/</w:t>
      </w:r>
      <w:r>
        <w:rPr>
          <w:rStyle w:val="9"/>
          <w:rFonts w:hint="eastAsia" w:ascii="仿宋" w:hAnsi="仿宋" w:eastAsia="仿宋" w:cs="Arial"/>
          <w:sz w:val="28"/>
          <w:szCs w:val="28"/>
        </w:rPr>
        <w:fldChar w:fldCharType="end"/>
      </w:r>
    </w:p>
    <w:p>
      <w:pPr>
        <w:spacing w:line="360" w:lineRule="auto"/>
        <w:jc w:val="center"/>
        <w:rPr>
          <w:rFonts w:ascii="仿宋" w:hAnsi="仿宋" w:eastAsia="仿宋" w:cs="Arial"/>
          <w:sz w:val="28"/>
          <w:szCs w:val="28"/>
        </w:rPr>
      </w:pPr>
      <w:r>
        <w:drawing>
          <wp:inline distT="0" distB="0" distL="0" distR="0">
            <wp:extent cx="5274310" cy="30568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0" distR="0">
            <wp:extent cx="5303520" cy="246888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仿宋" w:hAnsi="仿宋" w:eastAsia="仿宋" w:cs="Arial"/>
          <w:sz w:val="28"/>
          <w:szCs w:val="28"/>
        </w:rPr>
      </w:pPr>
      <w:r>
        <w:drawing>
          <wp:inline distT="0" distB="0" distL="0" distR="0">
            <wp:extent cx="5303520" cy="26517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仿宋" w:hAnsi="仿宋" w:eastAsia="仿宋" w:cs="Arial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Arial" w:eastAsia="仿宋_GB2312" w:cs="Arial"/>
          <w:sz w:val="28"/>
          <w:szCs w:val="28"/>
        </w:rPr>
        <w:t>、访问路径：</w:t>
      </w:r>
      <w:r>
        <w:rPr>
          <w:rFonts w:ascii="仿宋" w:hAnsi="仿宋" w:eastAsia="仿宋" w:cs="Arial"/>
          <w:sz w:val="28"/>
          <w:szCs w:val="28"/>
        </w:rPr>
        <w:t>登录成功后，在</w:t>
      </w:r>
      <w:r>
        <w:rPr>
          <w:rFonts w:hint="eastAsia" w:ascii="仿宋" w:hAnsi="仿宋" w:eastAsia="仿宋" w:cs="Arial"/>
          <w:sz w:val="28"/>
          <w:szCs w:val="28"/>
        </w:rPr>
        <w:t>下方我的业务中</w:t>
      </w:r>
      <w:r>
        <w:rPr>
          <w:rFonts w:ascii="仿宋" w:hAnsi="仿宋" w:eastAsia="仿宋" w:cs="Arial"/>
          <w:sz w:val="28"/>
          <w:szCs w:val="28"/>
        </w:rPr>
        <w:t>，选择点击进入</w:t>
      </w:r>
      <w:r>
        <w:rPr>
          <w:rFonts w:hint="eastAsia" w:ascii="仿宋" w:hAnsi="仿宋" w:eastAsia="仿宋" w:cs="Arial"/>
          <w:sz w:val="28"/>
          <w:szCs w:val="28"/>
        </w:rPr>
        <w:t>“园区科技资金”。</w:t>
      </w:r>
    </w:p>
    <w:p>
      <w:pPr>
        <w:spacing w:line="360" w:lineRule="auto"/>
        <w:rPr>
          <w:rFonts w:ascii="仿宋_GB2312" w:hAnsi="Arial" w:eastAsia="仿宋_GB2312" w:cs="Arial"/>
          <w:sz w:val="28"/>
          <w:szCs w:val="28"/>
        </w:rPr>
      </w:pPr>
      <w:r>
        <w:rPr>
          <w:rFonts w:ascii="仿宋" w:hAnsi="仿宋" w:eastAsia="仿宋" w:cs="Arial"/>
          <w:sz w:val="28"/>
          <w:szCs w:val="28"/>
          <w:bdr w:val="single" w:color="808080" w:sz="4" w:space="0"/>
        </w:rPr>
        <w:drawing>
          <wp:inline distT="0" distB="0" distL="0" distR="0">
            <wp:extent cx="5267325" cy="278130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suppressLineNumbers/>
        <w:spacing w:line="413" w:lineRule="auto"/>
        <w:rPr>
          <w:rFonts w:ascii="仿宋_GB2312" w:eastAsia="仿宋_GB2312" w:cs="Arial"/>
          <w:sz w:val="28"/>
          <w:szCs w:val="28"/>
        </w:rPr>
      </w:pPr>
      <w:r>
        <w:rPr>
          <w:rFonts w:hint="eastAsia" w:ascii="仿宋_GB2312" w:eastAsia="仿宋_GB2312" w:cs="Arial"/>
          <w:sz w:val="28"/>
          <w:szCs w:val="28"/>
        </w:rPr>
        <w:t>二、功能说明</w:t>
      </w:r>
    </w:p>
    <w:p>
      <w:pPr>
        <w:ind w:firstLine="560" w:firstLineChars="20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服务外包补贴系统实现企业将备案通过的服务外包的合同、在资金系统中完成资金申请。兑现部分可使用资金系统通用流程实现，这里不再赘述。</w:t>
      </w:r>
    </w:p>
    <w:p>
      <w:pPr>
        <w:ind w:firstLine="560" w:firstLineChars="20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企业申报流程如下：</w:t>
      </w:r>
    </w:p>
    <w:p>
      <w:pPr>
        <w:ind w:firstLine="560" w:firstLineChars="20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企业用户登录-&gt;选择科技枢纽平台-&gt;选择园区科技资金-&gt;服务外包补贴-&gt;新增资金申请单-&gt;资金审批（可能会被退回，申请单调整）-&gt;打印收据，并递交-&gt;业务人员收取-&gt;业务人员递交-&gt;国库付款-&gt;结束。</w:t>
      </w:r>
    </w:p>
    <w:p>
      <w:pPr>
        <w:pStyle w:val="3"/>
        <w:keepNext w:val="0"/>
        <w:keepLines w:val="0"/>
        <w:numPr>
          <w:ilvl w:val="0"/>
          <w:numId w:val="2"/>
        </w:numPr>
        <w:suppressLineNumbers/>
        <w:spacing w:line="413" w:lineRule="auto"/>
        <w:ind w:left="720" w:hanging="720"/>
        <w:rPr>
          <w:rFonts w:ascii="仿宋_GB2312" w:eastAsia="仿宋_GB2312" w:cs="Arial"/>
          <w:sz w:val="28"/>
          <w:szCs w:val="28"/>
        </w:rPr>
      </w:pPr>
      <w:r>
        <w:rPr>
          <w:rFonts w:hint="eastAsia" w:ascii="仿宋_GB2312" w:eastAsia="仿宋_GB2312" w:cs="Arial"/>
          <w:sz w:val="28"/>
          <w:szCs w:val="28"/>
        </w:rPr>
        <w:t>业务流程</w:t>
      </w:r>
    </w:p>
    <w:p>
      <w:pPr>
        <w:pStyle w:val="4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1、企业申报</w:t>
      </w:r>
    </w:p>
    <w:p>
      <w:pPr>
        <w:spacing w:line="360" w:lineRule="auto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 xml:space="preserve">  登录企业服务平台，选择科技枢纽平台，点击园区发展资金</w:t>
      </w:r>
    </w:p>
    <w:p>
      <w:pPr>
        <w:rPr>
          <w:rFonts w:ascii="仿宋_GB2312" w:hAnsi="Arial" w:eastAsia="仿宋_GB2312" w:cs="Arial"/>
          <w:sz w:val="28"/>
          <w:szCs w:val="28"/>
        </w:rPr>
      </w:pPr>
      <w:r>
        <w:drawing>
          <wp:inline distT="0" distB="0" distL="114300" distR="114300">
            <wp:extent cx="5267325" cy="2500630"/>
            <wp:effectExtent l="9525" t="9525" r="19050" b="234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06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进入后，找到服务外包补贴，您可以选择查询已备案的记录，或是备案新数据跳转至备案系统查看或完善的数据：</w:t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drawing>
          <wp:inline distT="0" distB="0" distL="114300" distR="114300">
            <wp:extent cx="5273040" cy="1009650"/>
            <wp:effectExtent l="9525" t="9525" r="13335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009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点击开始申请按钮，阅读承诺书</w:t>
      </w:r>
    </w:p>
    <w:p>
      <w:r>
        <w:drawing>
          <wp:inline distT="0" distB="0" distL="114300" distR="114300">
            <wp:extent cx="5272405" cy="2559050"/>
            <wp:effectExtent l="9525" t="9525" r="13970" b="2222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9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阅读后，点击同意，开始资金申请：</w:t>
      </w:r>
    </w:p>
    <w:p>
      <w:r>
        <w:drawing>
          <wp:inline distT="0" distB="0" distL="114300" distR="114300">
            <wp:extent cx="5269230" cy="2732405"/>
            <wp:effectExtent l="9525" t="9525" r="17145" b="2032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324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8"/>
          <w:szCs w:val="28"/>
        </w:rPr>
        <w:t>维护基本信息、选择联系人和账户</w:t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drawing>
          <wp:inline distT="0" distB="0" distL="114300" distR="114300">
            <wp:extent cx="5271770" cy="3514725"/>
            <wp:effectExtent l="9525" t="9525" r="14605" b="1905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4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8"/>
          <w:szCs w:val="28"/>
        </w:rPr>
        <w:t>点击新增合同按钮</w:t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drawing>
          <wp:inline distT="0" distB="0" distL="114300" distR="114300">
            <wp:extent cx="5272405" cy="1579880"/>
            <wp:effectExtent l="9525" t="9525" r="13970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79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8"/>
          <w:szCs w:val="28"/>
        </w:rPr>
        <w:t>选择相应的合同数据，点击下一步</w:t>
      </w:r>
    </w:p>
    <w:p>
      <w:pPr>
        <w:rPr>
          <w:rFonts w:ascii="仿宋_GB2312" w:hAnsi="微软雅黑" w:eastAsia="仿宋_GB2312" w:cs="Times New Roman"/>
          <w:sz w:val="28"/>
          <w:szCs w:val="28"/>
        </w:rPr>
      </w:pPr>
      <w:r>
        <w:drawing>
          <wp:inline distT="0" distB="0" distL="114300" distR="114300">
            <wp:extent cx="5266055" cy="1503045"/>
            <wp:effectExtent l="9525" t="9525" r="20320" b="1143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503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_GB2312" w:hAnsi="微软雅黑" w:eastAsia="仿宋_GB2312" w:cs="Times New Roman"/>
          <w:sz w:val="28"/>
          <w:szCs w:val="28"/>
        </w:rPr>
      </w:pPr>
      <w:r>
        <w:rPr>
          <w:rFonts w:hint="eastAsia" w:ascii="Adobe 仿宋 Std R" w:hAnsi="Adobe 仿宋 Std R" w:eastAsia="仿宋_GB2312" w:cs="Adobe 仿宋 Std R"/>
          <w:sz w:val="28"/>
          <w:szCs w:val="28"/>
        </w:rPr>
        <w:t>填写实际支付金额，上传相关的</w:t>
      </w:r>
      <w:r>
        <w:rPr>
          <w:rFonts w:hint="eastAsia" w:ascii="仿宋_GB2312" w:hAnsi="微软雅黑" w:eastAsia="仿宋_GB2312" w:cs="Times New Roman"/>
          <w:sz w:val="28"/>
          <w:szCs w:val="28"/>
        </w:rPr>
        <w:t>附件。</w:t>
      </w:r>
    </w:p>
    <w:p>
      <w:pPr>
        <w:jc w:val="left"/>
        <w:rPr>
          <w:rFonts w:ascii="仿宋_GB2312" w:hAnsi="微软雅黑" w:eastAsia="仿宋_GB2312" w:cs="Times New Roman"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8"/>
          <w:szCs w:val="28"/>
        </w:rPr>
        <w:t>注：</w:t>
      </w:r>
    </w:p>
    <w:p>
      <w:pPr>
        <w:jc w:val="left"/>
        <w:rPr>
          <w:rFonts w:eastAsia="仿宋_GB2312" w:asciiTheme="minorEastAsia" w:hAnsiTheme="minorEastAsia" w:cstheme="minorEastAsia"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8"/>
          <w:szCs w:val="28"/>
        </w:rPr>
        <w:t>“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年合同实际已支付金额”指企业在201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.1.1到201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.12.31之间对该合同实际支付金额，以付款凭证及已开发票为核准依据。</w:t>
      </w:r>
    </w:p>
    <w:p>
      <w:pPr>
        <w:jc w:val="left"/>
        <w:rPr>
          <w:rFonts w:eastAsia="仿宋_GB2312" w:asciiTheme="minorEastAsia" w:hAnsiTheme="minorEastAsia" w:cstheme="minorEastAsia"/>
          <w:sz w:val="28"/>
          <w:szCs w:val="28"/>
        </w:rPr>
      </w:pPr>
      <w:r>
        <w:rPr>
          <w:rFonts w:hint="eastAsia" w:eastAsia="仿宋_GB2312" w:asciiTheme="minorEastAsia" w:hAnsiTheme="minorEastAsia" w:cstheme="minorEastAsia"/>
          <w:sz w:val="28"/>
          <w:szCs w:val="28"/>
        </w:rPr>
        <w:t>“201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年产品实际已支付金额”指企业在201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.1.1到201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.12.31之间对该产品实际支付金额，等于201</w:t>
      </w:r>
      <w:r>
        <w:rPr>
          <w:rFonts w:hint="eastAsia" w:eastAsia="仿宋_GB2312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eastAsia="仿宋_GB2312" w:asciiTheme="minorEastAsia" w:hAnsiTheme="minorEastAsia" w:cstheme="minorEastAsia"/>
          <w:sz w:val="28"/>
          <w:szCs w:val="28"/>
        </w:rPr>
        <w:t>年合同实际已支付金额*（本产品合同金额/合同总金额，此值仅供参考，企业可自行修改，但不得大于产品金额。</w:t>
      </w:r>
    </w:p>
    <w:p>
      <w:pPr>
        <w:jc w:val="left"/>
        <w:rPr>
          <w:rFonts w:ascii="仿宋_GB2312" w:hAnsi="微软雅黑" w:eastAsia="仿宋_GB2312" w:cs="Times New Roman"/>
          <w:sz w:val="28"/>
          <w:szCs w:val="28"/>
        </w:rPr>
      </w:pPr>
      <w:r>
        <w:drawing>
          <wp:inline distT="0" distB="0" distL="114300" distR="114300">
            <wp:extent cx="5271770" cy="3573145"/>
            <wp:effectExtent l="9525" t="9525" r="14605" b="1778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731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 w:ascii="仿宋_GB2312" w:hAnsi="微软雅黑" w:eastAsia="仿宋_GB2312" w:cs="Times New Roman"/>
          <w:sz w:val="28"/>
          <w:szCs w:val="28"/>
        </w:rPr>
        <w:t>选择保存/保存并继续，保存合同数据或继续添加合同</w:t>
      </w:r>
      <w:r>
        <w:rPr>
          <w:rFonts w:hint="eastAsia" w:ascii="仿宋_GB2312" w:hAnsi="微软雅黑" w:eastAsia="仿宋_GB2312" w:cs="Times New Roman"/>
          <w:sz w:val="28"/>
          <w:szCs w:val="28"/>
        </w:rPr>
        <w:br w:type="textWrapping"/>
      </w:r>
      <w:r>
        <w:drawing>
          <wp:inline distT="0" distB="0" distL="114300" distR="114300">
            <wp:extent cx="5271135" cy="3371850"/>
            <wp:effectExtent l="9525" t="9525" r="15240" b="952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71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 w:ascii="仿宋_GB2312" w:hAnsi="微软雅黑" w:eastAsia="仿宋_GB2312" w:cs="Times New Roman"/>
          <w:sz w:val="28"/>
          <w:szCs w:val="28"/>
        </w:rPr>
        <w:t>点击提交，完成资金申请（</w:t>
      </w:r>
      <w:r>
        <w:rPr>
          <w:rFonts w:hint="eastAsia" w:ascii="仿宋_GB2312" w:hAnsi="微软雅黑" w:eastAsia="仿宋_GB2312" w:cs="Times New Roman"/>
          <w:color w:val="0000FF"/>
          <w:sz w:val="28"/>
          <w:szCs w:val="28"/>
        </w:rPr>
        <w:t>提示：</w:t>
      </w:r>
      <w:r>
        <w:rPr>
          <w:rFonts w:hint="eastAsia" w:ascii="仿宋_GB2312" w:hAnsi="微软雅黑" w:eastAsia="仿宋_GB2312" w:cs="Times New Roman"/>
          <w:color w:val="0000FF"/>
          <w:sz w:val="28"/>
          <w:szCs w:val="28"/>
        </w:rPr>
        <w:t>一定要确保本次要兑现的合同全部已添加</w:t>
      </w:r>
      <w:r>
        <w:rPr>
          <w:rFonts w:hint="eastAsia" w:ascii="仿宋_GB2312" w:hAnsi="微软雅黑" w:eastAsia="仿宋_GB2312" w:cs="Times New Roman"/>
          <w:sz w:val="28"/>
          <w:szCs w:val="28"/>
        </w:rPr>
        <w:t>）</w:t>
      </w:r>
      <w:r>
        <w:br w:type="textWrapping"/>
      </w:r>
      <w:r>
        <w:drawing>
          <wp:inline distT="0" distB="0" distL="114300" distR="114300">
            <wp:extent cx="5264785" cy="2390140"/>
            <wp:effectExtent l="9525" t="9525" r="21590" b="1968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901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2、打印收据</w:t>
      </w:r>
    </w:p>
    <w:p>
      <w:pPr>
        <w:ind w:firstLine="560" w:firstLineChars="200"/>
      </w:pPr>
      <w:r>
        <w:rPr>
          <w:rFonts w:hint="eastAsia" w:ascii="仿宋_GB2312" w:hAnsi="Arial" w:eastAsia="仿宋_GB2312" w:cs="Arial"/>
          <w:sz w:val="28"/>
          <w:szCs w:val="28"/>
        </w:rPr>
        <w:t>在扎口人完成请款后，企业登陆资金系统，在对应的业务的申请单，打印收据并提交给业务人员进行收据的收取</w:t>
      </w:r>
    </w:p>
    <w:p>
      <w:pPr>
        <w:spacing w:after="156" w:afterLines="50"/>
      </w:pPr>
      <w:r>
        <w:drawing>
          <wp:inline distT="0" distB="0" distL="114300" distR="114300">
            <wp:extent cx="5267325" cy="1280795"/>
            <wp:effectExtent l="9525" t="9525" r="19050" b="2413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2807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点击进入后，可以调整收据和打印收据</w:t>
      </w:r>
    </w:p>
    <w:p>
      <w:pPr>
        <w:spacing w:after="156" w:afterLines="50"/>
        <w:rPr>
          <w:rFonts w:ascii="仿宋_GB2312" w:eastAsia="仿宋_GB2312"/>
          <w:sz w:val="28"/>
          <w:szCs w:val="28"/>
        </w:rPr>
      </w:pPr>
      <w:r>
        <w:drawing>
          <wp:inline distT="0" distB="0" distL="114300" distR="114300">
            <wp:extent cx="5270500" cy="1506220"/>
            <wp:effectExtent l="9525" t="9525" r="15875" b="2730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062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点击打印收据后，会下载一份PDF格式的收据</w:t>
      </w:r>
    </w:p>
    <w:p>
      <w:pPr>
        <w:spacing w:after="156" w:afterLines="50"/>
        <w:rPr>
          <w:rFonts w:ascii="仿宋_GB2312" w:eastAsia="仿宋_GB2312"/>
          <w:sz w:val="28"/>
          <w:szCs w:val="28"/>
        </w:rPr>
      </w:pPr>
      <w:r>
        <w:drawing>
          <wp:inline distT="0" distB="0" distL="114300" distR="114300">
            <wp:extent cx="5273675" cy="3186430"/>
            <wp:effectExtent l="9525" t="9525" r="12700" b="23495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8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完成后，等待中心的人员在系统中点击收取，至此企业的所有系统操作部分结束</w:t>
      </w:r>
    </w:p>
    <w:p>
      <w:pPr>
        <w:pStyle w:val="3"/>
        <w:rPr>
          <w:rFonts w:ascii="仿宋_GB2312" w:eastAsia="仿宋_GB2312" w:cs="Arial"/>
        </w:rPr>
      </w:pPr>
      <w:r>
        <w:rPr>
          <w:rFonts w:hint="eastAsia" w:ascii="仿宋_GB2312" w:eastAsia="仿宋_GB2312" w:cs="Arial"/>
        </w:rPr>
        <w:t>四、系统技术支持</w:t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开发单位：苏州德融嘉信信用管理技术股份有限公司</w:t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热线电话：400-8696-086</w:t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微信号：s18913131676，或者扫描下方二维码</w:t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drawing>
          <wp:inline distT="0" distB="0" distL="0" distR="0">
            <wp:extent cx="1514475" cy="141922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QQ：2967266691</w:t>
      </w:r>
      <w:r>
        <w:rPr>
          <w:rFonts w:hint="eastAsia" w:ascii="仿宋_GB2312" w:hAnsi="仿宋" w:eastAsia="仿宋_GB2312" w:cs="仿宋"/>
          <w:sz w:val="28"/>
          <w:szCs w:val="28"/>
        </w:rPr>
        <w:br w:type="textWrapping"/>
      </w:r>
      <w:r>
        <w:rPr>
          <w:rFonts w:hint="eastAsia" w:ascii="仿宋_GB2312" w:hAnsi="仿宋" w:eastAsia="仿宋_GB2312" w:cs="仿宋"/>
          <w:sz w:val="28"/>
          <w:szCs w:val="28"/>
        </w:rPr>
        <w:t>邮箱：techsoft@sipac.gov.cn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50EC4"/>
    <w:multiLevelType w:val="multilevel"/>
    <w:tmpl w:val="47750EC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C001C4"/>
    <w:multiLevelType w:val="singleLevel"/>
    <w:tmpl w:val="57C001C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CB4BA8"/>
    <w:rsid w:val="00057ECE"/>
    <w:rsid w:val="0006776B"/>
    <w:rsid w:val="000C29CD"/>
    <w:rsid w:val="000D304C"/>
    <w:rsid w:val="00110688"/>
    <w:rsid w:val="0013566F"/>
    <w:rsid w:val="001B39D7"/>
    <w:rsid w:val="00376613"/>
    <w:rsid w:val="003D0F9F"/>
    <w:rsid w:val="003D3FC5"/>
    <w:rsid w:val="00403B05"/>
    <w:rsid w:val="00424603"/>
    <w:rsid w:val="00456AC4"/>
    <w:rsid w:val="004600EC"/>
    <w:rsid w:val="00486603"/>
    <w:rsid w:val="004A1D1A"/>
    <w:rsid w:val="004C7DDB"/>
    <w:rsid w:val="005A5A53"/>
    <w:rsid w:val="00640212"/>
    <w:rsid w:val="00775FFC"/>
    <w:rsid w:val="007A6CA1"/>
    <w:rsid w:val="007F46DD"/>
    <w:rsid w:val="008F56BB"/>
    <w:rsid w:val="00A00F44"/>
    <w:rsid w:val="00A95EC4"/>
    <w:rsid w:val="00AD444C"/>
    <w:rsid w:val="00BA2DAE"/>
    <w:rsid w:val="00BB0B41"/>
    <w:rsid w:val="00BC3469"/>
    <w:rsid w:val="00D00C1B"/>
    <w:rsid w:val="00D70F35"/>
    <w:rsid w:val="00ED7CA6"/>
    <w:rsid w:val="00F143E6"/>
    <w:rsid w:val="00F35173"/>
    <w:rsid w:val="00FD18F3"/>
    <w:rsid w:val="010D1EB8"/>
    <w:rsid w:val="02484421"/>
    <w:rsid w:val="025C75AB"/>
    <w:rsid w:val="064F1F95"/>
    <w:rsid w:val="09357680"/>
    <w:rsid w:val="0967267C"/>
    <w:rsid w:val="0AF173F6"/>
    <w:rsid w:val="0E950324"/>
    <w:rsid w:val="0EDB7D8F"/>
    <w:rsid w:val="0F262270"/>
    <w:rsid w:val="11D00F60"/>
    <w:rsid w:val="13221308"/>
    <w:rsid w:val="13E30CA5"/>
    <w:rsid w:val="1465338F"/>
    <w:rsid w:val="14987110"/>
    <w:rsid w:val="14A107F1"/>
    <w:rsid w:val="14B24056"/>
    <w:rsid w:val="150D2865"/>
    <w:rsid w:val="155A1C13"/>
    <w:rsid w:val="176E6F15"/>
    <w:rsid w:val="17B359FC"/>
    <w:rsid w:val="198B648A"/>
    <w:rsid w:val="1A4D312B"/>
    <w:rsid w:val="1A8F6CB6"/>
    <w:rsid w:val="1AD31266"/>
    <w:rsid w:val="1BAC63EB"/>
    <w:rsid w:val="1BBE3D7F"/>
    <w:rsid w:val="1BCB207E"/>
    <w:rsid w:val="1C446404"/>
    <w:rsid w:val="1D3A32A7"/>
    <w:rsid w:val="1E2E0639"/>
    <w:rsid w:val="1F1601E6"/>
    <w:rsid w:val="1FAF24FC"/>
    <w:rsid w:val="21190834"/>
    <w:rsid w:val="219C1218"/>
    <w:rsid w:val="247F12DE"/>
    <w:rsid w:val="262A6482"/>
    <w:rsid w:val="2638294D"/>
    <w:rsid w:val="264E57A5"/>
    <w:rsid w:val="27492F0A"/>
    <w:rsid w:val="2835291D"/>
    <w:rsid w:val="29944C3D"/>
    <w:rsid w:val="2B0B3216"/>
    <w:rsid w:val="2C2122E7"/>
    <w:rsid w:val="2C854B19"/>
    <w:rsid w:val="2E0D459B"/>
    <w:rsid w:val="2E1135C3"/>
    <w:rsid w:val="2E150FE5"/>
    <w:rsid w:val="318E273C"/>
    <w:rsid w:val="31BC6F67"/>
    <w:rsid w:val="32012D7C"/>
    <w:rsid w:val="33497C78"/>
    <w:rsid w:val="33F54A2E"/>
    <w:rsid w:val="346259C3"/>
    <w:rsid w:val="35D83EE0"/>
    <w:rsid w:val="36971CED"/>
    <w:rsid w:val="36B37BF0"/>
    <w:rsid w:val="39C234C3"/>
    <w:rsid w:val="39F928A9"/>
    <w:rsid w:val="3B2D1F1F"/>
    <w:rsid w:val="3BFD3AA3"/>
    <w:rsid w:val="3E312C28"/>
    <w:rsid w:val="3F933A7D"/>
    <w:rsid w:val="40406A40"/>
    <w:rsid w:val="42A25019"/>
    <w:rsid w:val="452353D7"/>
    <w:rsid w:val="453076CE"/>
    <w:rsid w:val="4596272A"/>
    <w:rsid w:val="45CA0ADD"/>
    <w:rsid w:val="46D93BC9"/>
    <w:rsid w:val="47B90B4E"/>
    <w:rsid w:val="47FC1586"/>
    <w:rsid w:val="49960008"/>
    <w:rsid w:val="49A150D2"/>
    <w:rsid w:val="4A797CDB"/>
    <w:rsid w:val="4B961B8A"/>
    <w:rsid w:val="4BFA3EED"/>
    <w:rsid w:val="4E403D8F"/>
    <w:rsid w:val="508F4347"/>
    <w:rsid w:val="50FA4123"/>
    <w:rsid w:val="510F7953"/>
    <w:rsid w:val="51253DFF"/>
    <w:rsid w:val="515960E1"/>
    <w:rsid w:val="51DE0A4D"/>
    <w:rsid w:val="53375A30"/>
    <w:rsid w:val="53425058"/>
    <w:rsid w:val="53655F9C"/>
    <w:rsid w:val="544E6EB9"/>
    <w:rsid w:val="54864057"/>
    <w:rsid w:val="54CC53B0"/>
    <w:rsid w:val="54F36D76"/>
    <w:rsid w:val="550D2C0A"/>
    <w:rsid w:val="569C3E48"/>
    <w:rsid w:val="597C5CD8"/>
    <w:rsid w:val="5AEC05E5"/>
    <w:rsid w:val="5C5655E4"/>
    <w:rsid w:val="5C7D7814"/>
    <w:rsid w:val="5E225CD7"/>
    <w:rsid w:val="5E9341D1"/>
    <w:rsid w:val="5FB36978"/>
    <w:rsid w:val="608F60CF"/>
    <w:rsid w:val="63337251"/>
    <w:rsid w:val="63CB4BA8"/>
    <w:rsid w:val="63DB5CF6"/>
    <w:rsid w:val="65A6672C"/>
    <w:rsid w:val="665E6555"/>
    <w:rsid w:val="666A6A20"/>
    <w:rsid w:val="66DB5DB6"/>
    <w:rsid w:val="672B5F0B"/>
    <w:rsid w:val="679F395B"/>
    <w:rsid w:val="67B014A0"/>
    <w:rsid w:val="68DA6016"/>
    <w:rsid w:val="68ED479C"/>
    <w:rsid w:val="697B119B"/>
    <w:rsid w:val="69BE0695"/>
    <w:rsid w:val="6A642CFF"/>
    <w:rsid w:val="6ACE2E12"/>
    <w:rsid w:val="6B500145"/>
    <w:rsid w:val="6CC6006C"/>
    <w:rsid w:val="6E2467E4"/>
    <w:rsid w:val="6F202F2F"/>
    <w:rsid w:val="70047B88"/>
    <w:rsid w:val="705D456F"/>
    <w:rsid w:val="70F16E98"/>
    <w:rsid w:val="71255F3A"/>
    <w:rsid w:val="714624A5"/>
    <w:rsid w:val="715F7EFC"/>
    <w:rsid w:val="71A32DEF"/>
    <w:rsid w:val="72966A0A"/>
    <w:rsid w:val="73DF25A7"/>
    <w:rsid w:val="73F34D4F"/>
    <w:rsid w:val="74BA362D"/>
    <w:rsid w:val="78920CB6"/>
    <w:rsid w:val="79A65B71"/>
    <w:rsid w:val="7AFC71DC"/>
    <w:rsid w:val="7BA92F9E"/>
    <w:rsid w:val="7C451808"/>
    <w:rsid w:val="7D90483F"/>
    <w:rsid w:val="7E181182"/>
    <w:rsid w:val="7F16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autoSpaceDE w:val="0"/>
      <w:autoSpaceDN w:val="0"/>
      <w:adjustRightInd w:val="0"/>
      <w:snapToGrid w:val="0"/>
      <w:spacing w:beforeLines="100" w:afterLines="100" w:line="360" w:lineRule="auto"/>
      <w:jc w:val="left"/>
      <w:outlineLvl w:val="0"/>
    </w:pPr>
    <w:rPr>
      <w:rFonts w:ascii="Arial" w:hAnsi="Arial" w:eastAsia="黑体" w:cs="宋体"/>
      <w:b/>
      <w:bCs/>
      <w:color w:val="000000"/>
      <w:kern w:val="0"/>
      <w:sz w:val="36"/>
      <w:szCs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0" w:lineRule="auto"/>
      <w:ind w:left="420" w:hanging="420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字符"/>
    <w:basedOn w:val="8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标题 1 字符"/>
    <w:basedOn w:val="8"/>
    <w:link w:val="2"/>
    <w:qFormat/>
    <w:uiPriority w:val="0"/>
    <w:rPr>
      <w:rFonts w:ascii="Arial" w:hAnsi="Arial" w:eastAsia="黑体" w:cs="宋体"/>
      <w:b/>
      <w:bCs/>
      <w:color w:val="000000"/>
      <w:sz w:val="36"/>
      <w:szCs w:val="36"/>
    </w:rPr>
  </w:style>
  <w:style w:type="character" w:customStyle="1" w:styleId="16">
    <w:name w:val="Unresolved Mention"/>
    <w:basedOn w:val="8"/>
    <w:semiHidden/>
    <w:unhideWhenUsed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174</Words>
  <Characters>998</Characters>
  <Lines>8</Lines>
  <Paragraphs>2</Paragraphs>
  <ScaleCrop>false</ScaleCrop>
  <LinksUpToDate>false</LinksUpToDate>
  <CharactersWithSpaces>1170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2018-04-27T03:22:00Z</dcterms:created>
  <dc:creator>dejax</dc:creator>
  <cp:lastModifiedBy>user</cp:lastModifiedBy>
  <dcterms:modified xsi:type="dcterms:W3CDTF">2018-04-27T03:35:08Z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